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2C4447B7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634B9">
        <w:rPr>
          <w:rFonts w:ascii="Times New Roman" w:hAnsi="Times New Roman" w:cs="Times New Roman"/>
          <w:b/>
          <w:sz w:val="24"/>
          <w:szCs w:val="24"/>
        </w:rPr>
        <w:t>14644-</w:t>
      </w:r>
      <w:r w:rsidR="00E361D5">
        <w:rPr>
          <w:rFonts w:ascii="Times New Roman" w:hAnsi="Times New Roman" w:cs="Times New Roman"/>
          <w:b/>
          <w:sz w:val="24"/>
          <w:szCs w:val="24"/>
        </w:rPr>
        <w:t>2</w:t>
      </w:r>
      <w:r w:rsidR="00D634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361D5" w:rsidRPr="00E361D5">
        <w:rPr>
          <w:rFonts w:ascii="Times New Roman" w:hAnsi="Times New Roman" w:cs="Times New Roman"/>
          <w:b/>
          <w:sz w:val="24"/>
          <w:szCs w:val="24"/>
        </w:rPr>
        <w:t>Чистые помещения и связанные с ними контролируемые среды. Часть 2. Текущий контроль для подтверждения постоянного соответствия чистоты воздуха по концентрации частиц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143C8D4" w14:textId="77777777" w:rsidR="00E361D5" w:rsidRPr="00D634B9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третьего направления Постановления Правительства РК от 12 октября 2021 года № 725 «Об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утверждении национального проекта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Качественное и доступное здравоохранение для каждого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гражданина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Здоровая нация».</w:t>
      </w:r>
    </w:p>
    <w:p w14:paraId="607C547D" w14:textId="77777777" w:rsidR="00E361D5" w:rsidRPr="00D634B9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1CC239B2" w14:textId="77777777" w:rsidR="00E361D5" w:rsidRPr="00D634B9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проведения квалификации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чистых помещений по производству медицинских изделий. В текущий момент на территорий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РК имеется отечественные товаропроизводители медицинских изделий, производимых в чистых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помещениях (ТОО «Green Cross </w:t>
      </w:r>
      <w:proofErr w:type="spellStart"/>
      <w:r w:rsidRPr="00D634B9">
        <w:rPr>
          <w:rFonts w:ascii="Times New Roman" w:hAnsi="Times New Roman" w:cs="Times New Roman"/>
          <w:sz w:val="24"/>
          <w:szCs w:val="24"/>
          <w:lang w:eastAsia="zh-CN"/>
        </w:rPr>
        <w:t>Eco</w:t>
      </w:r>
      <w:proofErr w:type="spellEnd"/>
      <w:r w:rsidRPr="00D634B9">
        <w:rPr>
          <w:rFonts w:ascii="Times New Roman" w:hAnsi="Times New Roman" w:cs="Times New Roman"/>
          <w:sz w:val="24"/>
          <w:szCs w:val="24"/>
          <w:lang w:eastAsia="zh-CN"/>
        </w:rPr>
        <w:t>» (Грин Кросс Эко), ТОО «</w:t>
      </w:r>
      <w:proofErr w:type="spellStart"/>
      <w:r w:rsidRPr="00D634B9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Групп), ТОО «</w:t>
      </w:r>
      <w:proofErr w:type="spellStart"/>
      <w:r w:rsidRPr="00D634B9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Интернейшнл»). Для проведения квалификации чистых помещений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>надлежащим образом необходима разработка данного документа по стандартизации.</w:t>
      </w:r>
    </w:p>
    <w:p w14:paraId="622C25EC" w14:textId="77777777" w:rsidR="00E361D5" w:rsidRPr="00D634B9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Pr="00D634B9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3074D2">
        <w:rPr>
          <w:rFonts w:ascii="Times New Roman" w:hAnsi="Times New Roman" w:cs="Times New Roman"/>
          <w:sz w:val="24"/>
          <w:szCs w:val="24"/>
          <w:lang w:eastAsia="zh-CN"/>
        </w:rPr>
        <w:t>определяет классификацию чистоты воздуха с точки зрения концентрации частиц в воздухе в чистых помещениях и чистых зонах. Для целей классификации рассматриваются только популяции частиц с кумулятивным распределением, основанным на пороговых (нижних пределах) размерах частиц в диапазоне от 0,1 мкм до 5 мкм.</w:t>
      </w:r>
    </w:p>
    <w:p w14:paraId="52B7BAC8" w14:textId="77777777" w:rsidR="00E361D5" w:rsidRPr="003074D2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074D2">
        <w:rPr>
          <w:rFonts w:ascii="Times New Roman" w:hAnsi="Times New Roman" w:cs="Times New Roman"/>
          <w:sz w:val="24"/>
          <w:szCs w:val="24"/>
          <w:lang w:eastAsia="zh-CN"/>
        </w:rPr>
        <w:t>Использование светорассеивающих (дискретных) счетчиков частиц в воздухе (LSAPC) обеспечивает основу для определения концентрации частиц в воздухе, превышающей или равной указанным размерам, в определенных местах отбора проб. Эта часть ISO 14644 не обеспечивает классификацию популяций частиц, выходящих за пределы установленного подпорогового диапазона размеров частиц, например, от 0,1 мкм до 5 мкм.</w:t>
      </w:r>
    </w:p>
    <w:p w14:paraId="6D8561A5" w14:textId="77777777" w:rsidR="00E361D5" w:rsidRPr="003074D2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074D2">
        <w:rPr>
          <w:rFonts w:ascii="Times New Roman" w:hAnsi="Times New Roman" w:cs="Times New Roman"/>
          <w:sz w:val="24"/>
          <w:szCs w:val="24"/>
          <w:lang w:eastAsia="zh-CN"/>
        </w:rPr>
        <w:t xml:space="preserve">Концентрации ультрадисперсных частиц (частиц размером менее 0,1 мкм) рассматриваются в стандарте ISO 14644-12, который определяет чистоту воздуха с помощью </w:t>
      </w:r>
      <w:proofErr w:type="spellStart"/>
      <w:r w:rsidRPr="003074D2">
        <w:rPr>
          <w:rFonts w:ascii="Times New Roman" w:hAnsi="Times New Roman" w:cs="Times New Roman"/>
          <w:sz w:val="24"/>
          <w:szCs w:val="24"/>
          <w:lang w:eastAsia="zh-CN"/>
        </w:rPr>
        <w:t>наноразмерных</w:t>
      </w:r>
      <w:proofErr w:type="spellEnd"/>
      <w:r w:rsidRPr="003074D2">
        <w:rPr>
          <w:rFonts w:ascii="Times New Roman" w:hAnsi="Times New Roman" w:cs="Times New Roman"/>
          <w:sz w:val="24"/>
          <w:szCs w:val="24"/>
          <w:lang w:eastAsia="zh-CN"/>
        </w:rPr>
        <w:t xml:space="preserve"> частиц, а дескриптор M может использоваться для количественного определения популяций </w:t>
      </w:r>
      <w:proofErr w:type="spellStart"/>
      <w:r w:rsidRPr="003074D2">
        <w:rPr>
          <w:rFonts w:ascii="Times New Roman" w:hAnsi="Times New Roman" w:cs="Times New Roman"/>
          <w:sz w:val="24"/>
          <w:szCs w:val="24"/>
          <w:lang w:eastAsia="zh-CN"/>
        </w:rPr>
        <w:t>макрочастиц</w:t>
      </w:r>
      <w:proofErr w:type="spellEnd"/>
      <w:r w:rsidRPr="003074D2">
        <w:rPr>
          <w:rFonts w:ascii="Times New Roman" w:hAnsi="Times New Roman" w:cs="Times New Roman"/>
          <w:sz w:val="24"/>
          <w:szCs w:val="24"/>
          <w:lang w:eastAsia="zh-CN"/>
        </w:rPr>
        <w:t xml:space="preserve"> (частиц). Эта часть ISO 14644 не может использоваться для описания физической, химической, радиологической, живой или другой природы переносимых по воздуху частиц.</w:t>
      </w:r>
    </w:p>
    <w:p w14:paraId="30FFF2B9" w14:textId="77777777" w:rsidR="00E361D5" w:rsidRPr="00D44AC5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15AA952" w:rsid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E1E961E" w14:textId="3671C2F5" w:rsidR="00D634B9" w:rsidRDefault="00D634B9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5510479" w14:textId="50257D22" w:rsidR="00D634B9" w:rsidRDefault="00D634B9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93E5FC3" w14:textId="77777777" w:rsidR="00D634B9" w:rsidRPr="00132982" w:rsidRDefault="00D634B9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E362C8" w14:textId="77777777" w:rsidR="00E361D5" w:rsidRPr="003074D2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074D2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Чистые помещения и связанные с ними контролируемые среды.</w:t>
      </w:r>
    </w:p>
    <w:p w14:paraId="5B514322" w14:textId="77777777" w:rsidR="00E361D5" w:rsidRPr="003074D2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074D2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57895D32" w14:textId="77777777" w:rsidR="00E361D5" w:rsidRPr="003074D2" w:rsidRDefault="00E361D5" w:rsidP="00E361D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074D2">
        <w:rPr>
          <w:rFonts w:ascii="Times New Roman" w:hAnsi="Times New Roman" w:cs="Times New Roman"/>
          <w:sz w:val="24"/>
          <w:szCs w:val="24"/>
          <w:lang w:eastAsia="zh-CN"/>
        </w:rPr>
        <w:t>Чистые помещения и связанные с ними контролируемые среды обеспечивают контроль загрязнения воздуха и, если необходимо, поверхностей, в целях поддержания допустимого уровня загрязнений в чувствительных к ним процессах.</w:t>
      </w:r>
    </w:p>
    <w:p w14:paraId="192FEA03" w14:textId="77777777" w:rsidR="00D634B9" w:rsidRDefault="00D634B9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1505C3A9" w:rsidR="00D44AC5" w:rsidRPr="00D44AC5" w:rsidRDefault="00D44AC5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7BA4825F" w14:textId="77777777" w:rsidR="00E361D5" w:rsidRPr="003074D2" w:rsidRDefault="00E361D5" w:rsidP="00E361D5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74D2">
        <w:rPr>
          <w:rFonts w:ascii="Times New Roman" w:hAnsi="Times New Roman"/>
          <w:sz w:val="24"/>
          <w:szCs w:val="24"/>
        </w:rPr>
        <w:t>СТ РК ISO 14644-1 Чистые помещения и связанные с ними контролируемые среды. Часть 1. Классификация чистоты воздуха по концентрации частиц</w:t>
      </w:r>
    </w:p>
    <w:p w14:paraId="162B18A1" w14:textId="77777777" w:rsidR="00BE7802" w:rsidRPr="009B552D" w:rsidRDefault="00BE780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25B89C4A" w:rsidR="00E32CDA" w:rsidRPr="00E32CDA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ISO</w:t>
      </w:r>
      <w:r w:rsidR="001622DD" w:rsidRPr="001622DD">
        <w:rPr>
          <w:rFonts w:ascii="Times New Roman" w:hAnsi="Times New Roman"/>
          <w:sz w:val="24"/>
          <w:szCs w:val="24"/>
        </w:rPr>
        <w:t xml:space="preserve"> 14644-2:2015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Cleanrooms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and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associated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controlled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environments</w:t>
      </w:r>
      <w:r w:rsidR="001622DD" w:rsidRPr="001622DD">
        <w:rPr>
          <w:rFonts w:ascii="Times New Roman" w:hAnsi="Times New Roman"/>
          <w:sz w:val="24"/>
          <w:szCs w:val="24"/>
        </w:rPr>
        <w:t xml:space="preserve"> —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Part</w:t>
      </w:r>
      <w:r w:rsidR="001622DD" w:rsidRPr="001622DD">
        <w:rPr>
          <w:rFonts w:ascii="Times New Roman" w:hAnsi="Times New Roman"/>
          <w:sz w:val="24"/>
          <w:szCs w:val="24"/>
        </w:rPr>
        <w:t xml:space="preserve"> 2: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Monitoring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to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provide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evidence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of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cleanroom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performance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related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to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air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cleanliness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by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particle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  <w:lang w:val="en-US"/>
        </w:rPr>
        <w:t>concentration</w:t>
      </w:r>
      <w:r w:rsidR="001622DD" w:rsidRPr="001622DD">
        <w:rPr>
          <w:rFonts w:ascii="Times New Roman" w:hAnsi="Times New Roman"/>
          <w:sz w:val="24"/>
          <w:szCs w:val="24"/>
        </w:rPr>
        <w:t xml:space="preserve"> (</w:t>
      </w:r>
      <w:r w:rsidR="001622DD" w:rsidRPr="00A95F38">
        <w:rPr>
          <w:rFonts w:ascii="Times New Roman" w:hAnsi="Times New Roman"/>
          <w:sz w:val="24"/>
          <w:szCs w:val="24"/>
        </w:rPr>
        <w:t>Чистые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</w:rPr>
        <w:t>помещения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</w:rPr>
        <w:t>и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</w:rPr>
        <w:t>связанные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</w:rPr>
        <w:t>с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</w:rPr>
        <w:t>ними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</w:rPr>
        <w:t>контролируемые</w:t>
      </w:r>
      <w:r w:rsidR="001622DD" w:rsidRPr="001622DD">
        <w:rPr>
          <w:rFonts w:ascii="Times New Roman" w:hAnsi="Times New Roman"/>
          <w:sz w:val="24"/>
          <w:szCs w:val="24"/>
        </w:rPr>
        <w:t xml:space="preserve"> </w:t>
      </w:r>
      <w:r w:rsidR="001622DD" w:rsidRPr="00A95F38">
        <w:rPr>
          <w:rFonts w:ascii="Times New Roman" w:hAnsi="Times New Roman"/>
          <w:sz w:val="24"/>
          <w:szCs w:val="24"/>
        </w:rPr>
        <w:t>среды</w:t>
      </w:r>
      <w:r w:rsidR="001622DD" w:rsidRPr="001622DD">
        <w:rPr>
          <w:rFonts w:ascii="Times New Roman" w:hAnsi="Times New Roman"/>
          <w:sz w:val="24"/>
          <w:szCs w:val="24"/>
        </w:rPr>
        <w:t xml:space="preserve">. </w:t>
      </w:r>
      <w:r w:rsidR="001622DD" w:rsidRPr="00A95F38">
        <w:rPr>
          <w:rFonts w:ascii="Times New Roman" w:hAnsi="Times New Roman"/>
          <w:sz w:val="24"/>
          <w:szCs w:val="24"/>
        </w:rPr>
        <w:t>Часть 2. Текущий контроль для подтверждения постоянного соответствия чистоты воздуха по концентрации частиц)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131AC907" w14:textId="77777777" w:rsidR="00D634B9" w:rsidRPr="00D44AC5" w:rsidRDefault="00D634B9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7FA7A226" w14:textId="77777777" w:rsidR="00E361D5" w:rsidRDefault="00E361D5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AE372C2" w14:textId="143C664D" w:rsidR="00D44AC5" w:rsidRPr="00D44AC5" w:rsidRDefault="008777B9" w:rsidP="00E361D5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1622DD"/>
    <w:rsid w:val="003029B8"/>
    <w:rsid w:val="00312DCA"/>
    <w:rsid w:val="003616D8"/>
    <w:rsid w:val="003F00A3"/>
    <w:rsid w:val="003F7768"/>
    <w:rsid w:val="0040619E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D634B9"/>
    <w:rsid w:val="00DA4BC1"/>
    <w:rsid w:val="00E32CDA"/>
    <w:rsid w:val="00E361D5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10</cp:revision>
  <dcterms:created xsi:type="dcterms:W3CDTF">2022-08-31T09:51:00Z</dcterms:created>
  <dcterms:modified xsi:type="dcterms:W3CDTF">2023-09-03T15:30:00Z</dcterms:modified>
</cp:coreProperties>
</file>